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" w:type="dxa"/>
        <w:tblLayout w:type="fixed"/>
        <w:tblLook w:val="0000"/>
      </w:tblPr>
      <w:tblGrid>
        <w:gridCol w:w="4785"/>
        <w:gridCol w:w="4866"/>
      </w:tblGrid>
      <w:tr w:rsidR="00AC1042" w:rsidRPr="00D40FDA" w:rsidTr="003161CB">
        <w:trPr>
          <w:trHeight w:val="2325"/>
        </w:trPr>
        <w:tc>
          <w:tcPr>
            <w:tcW w:w="4785" w:type="dxa"/>
            <w:shd w:val="clear" w:color="auto" w:fill="auto"/>
          </w:tcPr>
          <w:p w:rsidR="00C67750" w:rsidRDefault="00AC1042" w:rsidP="003161CB">
            <w:pPr>
              <w:rPr>
                <w:rFonts w:ascii="Times New Roman" w:hAnsi="Times New Roman"/>
                <w:sz w:val="28"/>
                <w:szCs w:val="28"/>
              </w:rPr>
            </w:pPr>
            <w:r w:rsidRPr="00D40FDA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C1042" w:rsidRPr="00D40FDA" w:rsidRDefault="00605DA5" w:rsidP="00605DA5">
            <w:pPr>
              <w:rPr>
                <w:rFonts w:ascii="Times New Roman" w:hAnsi="Times New Roman"/>
                <w:sz w:val="28"/>
                <w:szCs w:val="28"/>
              </w:rPr>
            </w:pPr>
            <w:r w:rsidRPr="00D40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6" w:type="dxa"/>
            <w:shd w:val="clear" w:color="auto" w:fill="auto"/>
          </w:tcPr>
          <w:p w:rsidR="008C4F14" w:rsidRDefault="00C67750" w:rsidP="0067756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67750" w:rsidRDefault="008C4F14" w:rsidP="0067756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вр.и.о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6775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C67750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C67750">
              <w:rPr>
                <w:rFonts w:ascii="Times New Roman" w:hAnsi="Times New Roman"/>
                <w:sz w:val="28"/>
                <w:szCs w:val="28"/>
              </w:rPr>
              <w:t xml:space="preserve"> МКУК</w:t>
            </w:r>
          </w:p>
          <w:p w:rsidR="00AC1042" w:rsidRPr="00D40FDA" w:rsidRDefault="00C67750" w:rsidP="0067756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C4F14">
              <w:rPr>
                <w:rFonts w:ascii="Times New Roman" w:hAnsi="Times New Roman"/>
                <w:sz w:val="28"/>
                <w:szCs w:val="28"/>
              </w:rPr>
              <w:t>Майский</w:t>
            </w:r>
            <w:r w:rsidR="00AC1042" w:rsidRPr="00D40FDA"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  <w:p w:rsidR="00AC1042" w:rsidRPr="00D40FDA" w:rsidRDefault="00C67750" w:rsidP="006775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C1042" w:rsidRPr="00D40FD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      </w:t>
            </w:r>
            <w:r w:rsidR="008C4F14">
              <w:rPr>
                <w:rFonts w:ascii="Times New Roman" w:hAnsi="Times New Roman"/>
                <w:sz w:val="28"/>
                <w:szCs w:val="28"/>
              </w:rPr>
              <w:t>А.Н.Брагин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AC1042" w:rsidRPr="00D40FDA" w:rsidRDefault="008C4F14" w:rsidP="0067756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«10</w:t>
            </w:r>
            <w:r w:rsidR="00AC1042" w:rsidRPr="00D40FDA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="00AC1042" w:rsidRPr="00D40FDA">
              <w:rPr>
                <w:rFonts w:ascii="Times New Roman" w:hAnsi="Times New Roman"/>
                <w:sz w:val="28"/>
                <w:szCs w:val="28"/>
              </w:rPr>
              <w:t xml:space="preserve"> 2016 г.</w:t>
            </w:r>
          </w:p>
          <w:p w:rsidR="00AC1042" w:rsidRPr="00D40FDA" w:rsidRDefault="00AC1042" w:rsidP="0067756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1042" w:rsidRPr="00D40FDA" w:rsidRDefault="00AC1042" w:rsidP="003161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1042" w:rsidRPr="00D40FDA" w:rsidRDefault="00AC1042" w:rsidP="003161C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1042" w:rsidRPr="00D40FDA" w:rsidRDefault="00AC1042" w:rsidP="00316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042" w:rsidRPr="00D40FDA" w:rsidRDefault="00AC1042" w:rsidP="00AC1042">
      <w:pPr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  <w:r w:rsidRPr="00D40FDA">
        <w:rPr>
          <w:rFonts w:ascii="Times New Roman" w:hAnsi="Times New Roman"/>
          <w:sz w:val="28"/>
          <w:szCs w:val="28"/>
        </w:rPr>
        <w:t>АНТИКОРРУПЦИОННАЯ ПОЛИТИКА</w:t>
      </w: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0FD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40FDA">
        <w:rPr>
          <w:rFonts w:ascii="Times New Roman" w:hAnsi="Times New Roman"/>
          <w:sz w:val="28"/>
          <w:szCs w:val="28"/>
        </w:rPr>
        <w:t xml:space="preserve"> казенного учреждение культуры</w:t>
      </w:r>
      <w:r w:rsidRPr="00D40FDA">
        <w:rPr>
          <w:rFonts w:ascii="Times New Roman" w:hAnsi="Times New Roman"/>
          <w:sz w:val="28"/>
          <w:szCs w:val="28"/>
        </w:rPr>
        <w:br/>
      </w:r>
    </w:p>
    <w:p w:rsidR="00AC1042" w:rsidRPr="00D40FDA" w:rsidRDefault="00C67750" w:rsidP="00AC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754FF">
        <w:rPr>
          <w:rFonts w:ascii="Times New Roman" w:hAnsi="Times New Roman"/>
          <w:sz w:val="28"/>
          <w:szCs w:val="28"/>
        </w:rPr>
        <w:t>Майский</w:t>
      </w:r>
      <w:r w:rsidR="00AC1042" w:rsidRPr="00D40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042" w:rsidRPr="00D40FDA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AC1042" w:rsidRPr="00D40FDA">
        <w:rPr>
          <w:rFonts w:ascii="Times New Roman" w:hAnsi="Times New Roman"/>
          <w:sz w:val="28"/>
          <w:szCs w:val="28"/>
        </w:rPr>
        <w:t xml:space="preserve"> центр»</w:t>
      </w: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AC1042" w:rsidRPr="00D40FDA" w:rsidRDefault="00AC1042" w:rsidP="00AC1042">
      <w:pPr>
        <w:rPr>
          <w:rFonts w:ascii="Times New Roman" w:hAnsi="Times New Roman"/>
          <w:sz w:val="28"/>
          <w:szCs w:val="28"/>
        </w:rPr>
      </w:pPr>
    </w:p>
    <w:p w:rsidR="00AC1042" w:rsidRPr="00D40FDA" w:rsidRDefault="00B754FF" w:rsidP="00AC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С.Майское</w:t>
      </w:r>
    </w:p>
    <w:p w:rsidR="00AC1042" w:rsidRDefault="00AC1042" w:rsidP="00AC1042">
      <w:pPr>
        <w:jc w:val="center"/>
        <w:rPr>
          <w:rFonts w:ascii="Times New Roman" w:hAnsi="Times New Roman"/>
          <w:sz w:val="28"/>
          <w:szCs w:val="28"/>
        </w:rPr>
      </w:pPr>
      <w:r w:rsidRPr="00D40FDA">
        <w:rPr>
          <w:rFonts w:ascii="Times New Roman" w:hAnsi="Times New Roman"/>
          <w:sz w:val="28"/>
          <w:szCs w:val="28"/>
        </w:rPr>
        <w:t>2016 г.</w:t>
      </w:r>
    </w:p>
    <w:p w:rsidR="00C67750" w:rsidRPr="00D40FDA" w:rsidRDefault="00C67750" w:rsidP="00AC1042">
      <w:pPr>
        <w:jc w:val="center"/>
        <w:rPr>
          <w:rFonts w:ascii="Times New Roman" w:hAnsi="Times New Roman"/>
          <w:sz w:val="28"/>
          <w:szCs w:val="28"/>
        </w:rPr>
      </w:pPr>
    </w:p>
    <w:p w:rsidR="00677564" w:rsidRDefault="00677564" w:rsidP="00AC1042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77564" w:rsidRDefault="00677564" w:rsidP="00AC1042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77564" w:rsidRDefault="00677564" w:rsidP="00AC1042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1. Цели и задачи внедрения </w:t>
      </w: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политики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Антикоррупционная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политика Учреждения представляет собой комплекс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взаимосвязанных принципов, процедур и конкретных мероприятий, направленных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на профилактику и пресечение коррупционных правонарушений в его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деятельности.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2. Используемые в политике понятия и определения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Коррупция - злоупотребление служебным положением, дача взятки,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получение взятки, злоупотребление полномочиями, коммерческий подкуп либо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иное незаконное использование физическим лицом своего должностного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положения вопреки законным интересам общества и государства в целях получения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выгоды в виде денег, ценностей, иного имущества или услуг имущественного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характера, иных имущественных прав для себя или для третьих лиц либо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незаконное предоставление такой выгоды указанному лицу другими физическими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лицами. Коррупцией также является совершение перечисленных деяний от имени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или в интересах юридического лица (пункт 1 статьи 1 Федерального закона от 25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декабря 2008 года № 273-ФЗ "О противодействии коррупции").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Противодействие коррупции - деятельность федеральных органов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государственной власти, органов государственной власти субъектов Российской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Федерации, органов местного самоуправления, институтов гражданского общества,</w:t>
      </w:r>
      <w:r w:rsidR="006775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организаций и физических лиц в пределах их полномочий (пункт 2 статьи 1Федерального закона от 25 декабря 2008 года № 273-ФЗ "О противодействии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коррупции"):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а) по предупреждению коррупции, в том числе по выявлению и последующему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устранению при</w:t>
      </w:r>
      <w:r w:rsidR="00677564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 коррупции (профилактика коррупции);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б) по выявлению, предупреждению, пресечению, раскрытию и расследованию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коррупционных правонарушений (борьба с коррупцией);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в) по минимизации и (или) ликвидации последствий коррупционных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правонарушений.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Организация - юридическое лицо независимо от формы собственности,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организационно-правовой формы и отраслевой принадлежности.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Взятка - получение должностным лицом, иностранным должностным лицом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либо должностным лицом публичной международной организации лично или через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посредника денег, ценных бумаг, иного имущества либо в виде незаконных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оказания ему услуг имущественного характера, предоставления иных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имущественных прав за совершение действий (бездействие) в пользу взяткодателя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или представляемых им лиц, если такие действия (бездействие)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входят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служебные полномочия должностного лица либо если оно в силу должностного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положения может способствовать таким действиям (бездействию), а равно за общее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покровительство или попустительство по службе.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Коммерческий подкуп - незаконные передача лицу, выполняющему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управленческие функции, денег, ценных бумаг, иного имущества, оказание ему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услуг имущественного характера, предоставление иных имущественных прав за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совершение действий (бездействие) в интересах дающего в связи с занимаемым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этим лицом служебным положением (часть 1 статьи 204 Уголовного кодекса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Федерации).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Конфликт интересов - ситуация, при которой личная заинтересованность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(прямая или косвенная) работника (представителя организации) влияет или может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повлиять на надлежащее исполнение им должностных (трудовых) обязанностей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при которой возникает или может возникнуть противоречие между личной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заинтересованностью работника (представителя организации) и правами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законными интересами организации, способное привести к причинению вреда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правам и законным интересам, имуществу и (или) деловой репутации организации,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работником (представителем организации) которой он является.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Личная заинтересованность работника (представителя организации) -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заинтересованность работника (представителя организации), связанная с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возможностью получения работником (представителем организации) при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исполнении должностных обязанностей доходов в виде денег, ценностей, иного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имущества или услуг имущественного характера, иных имущественных прав 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себя или для третьих лиц.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Основные принципы </w:t>
      </w: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деятельности организации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Система мер противодействия коррупции в Учреждении основывается на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следующих ключевых принципах: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1. Принцип соответствия политики организации действующему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законодательству и общепринятым нормам.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Соответствие реализуемых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Конституции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 заключенным Российской Федерацией международным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договорам, законодательству Российской Федерации и иным нормативным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правовым актам, применимым к Учреждению.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2. Принцип личного примера руководства.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Ключевая роль руководства Учреждения в формировании культуры нетерпимости 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коррупции и в создании внутриорганизационной системы предупреждения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противодействия коррупции.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3. Принцип вовлеченности работников.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Информированность рабо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тников организации о положениях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законодательства и их активное участие в формировании и реализации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стандартов и процедур.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4. Принцип соразмерности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процедур риску коррупции.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Разработка и выполнение комплекса мероприятий, позволяющих снизить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вероятность вовлечения Учреждения, его руководителей и сотрудников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коррупционную деятельность, осуществляется с учетом существующих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деятельности данной организации коррупционных рисков.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5. Принцип эффективности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процедур.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Применение в Учреждении таких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мероприятий, которые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имеют низкую стоимость, обеспечивают простоту реализации и приносят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значимый результат.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 Принцип ответственности и неотвратимости наказания.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Неотвратимость наказания для работников Учреждения вне зависимости от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занимаемой должности, стажа работы и иных условий в случае совершения ими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коррупционных правонарушений в связи с исполнением трудовых обязанностей, 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также персональная ответственность руководства Учреждения за реализацию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внутриорганизационной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7. Принцип открытости работы.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Информирование контрагентов, партнеров и общественности о принятых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Учреждении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стандартах работы.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8. Принцип постоянного контроля и регулярного мониторинга.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Регулярное осуществление мониторинга эффективности внедренных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стандартов и процедур, а также контроля за их исполнением.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4. Область применения политики и круг лиц, попадающих под ее действие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Основным кругом лиц, попадающих под действие политики Учреждения,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являются работники, находящиеся с ним в трудовых отношениях, вне зависимости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от занимаемой должности и выполняемых трудовых функций, и на других лиц,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которыми Учреждение вступает в договорные отношения.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5. Определение должностных лиц Учреждения, ответственных за реализацию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политики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Ответственные за реализацию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 определяются в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локальных нормативных актах Учреждения.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6. Определение и закрепление обязанностей работников и организации,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связанных с предупреждением и противодействием коррупции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6.1. Обязанности работников Учреждения в связи с предупреждением 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противодействием коррупции могут быть общими для всех сотрудников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Учреждения или специальными, то есть устанавливаться для отдельных категорий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работников.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6.2. Общие обязанности работников в связи с предупреждением 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противодействием коррупции следующие: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воздерживаться от совершения и (или) участия в совершении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коррупционных правонарушений в интересах или от имени Учреждения;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воздерживаться от поведения, которое может быть истолковано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окружающими как готовность совершить или участвовать в совершении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коррупционного правонарушения в интересах или от имени Учреждения;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незамедлительно информировать непосредственного руководителя или лицо,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ответственное за реализацию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 о случаях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склонения работника к совершению коррупционных правонарушений;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незамедлительно информировать непосредственного начальника или лицо,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ответственное за реализацию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 о ставшей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известной работнику информации о случаях совершения коррупционных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правонарушений другими работниками, контрагентами Учреждения или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иными лицами;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сообщить непосредственному начальнику или иному ответственному лицу 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возможности возникновения либо возникшем у работника конфликте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интересов.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6.3. Специальные обязанности в связи с предупреждением и противодействием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коррупции могут устанавливаться для следующих категорий лиц, работающих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Учреждении: 1) руководства Учреждения; 2) лиц, ответственных за реализацию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политики; 3) работников, чья деятельность связана с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коррупционными рисками; 3) лиц, осуществляющих внутренний контроль и аудит,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 т.д.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6.4. Общие, так и специальные обязанности включаются в должностные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инструкции работников. При условии закрепления обязанностей работника в связи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 предупреждением и противодействием коррупции в должностной инструкции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работодатель вправе применить к работнику меры дисциплинарного взыскания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их неисполнение.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6.5. В целях обеспечения эффективного исполнения возложенных на работников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обязанностей регламентируется процедуры их соблюдения. Порядок уведомления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работодателя о случаях склонения работника к совершению коррупционных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правонарушений или о ставшей известной работнику информации о случаях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совершения коррупционных правонарушений закрепляется в локальном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нормативном акте Учреждения.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Установление перечня реализуемых Учреждением </w:t>
      </w: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антикоррупционных</w:t>
      </w:r>
      <w:proofErr w:type="spellEnd"/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мероприятий, стандартов и процедур и порядок их выполнения (применения)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антикоррупционную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политику включается следующий перечень мероприятий,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которые Учреждение планирует реализовать в целях предупреждения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противодействия коррупции: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6385"/>
      </w:tblGrid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Мероприятие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Нормативное обеспечение, закрепление стандартов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поведения  и декларация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намерений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и внедрение положения о конфликте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интересов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в договоры, связанные с хозяйственной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деятельностью организации, стандартной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оговорки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spacing w:after="0" w:line="240" w:lineRule="auto"/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Разработка и введение </w:t>
            </w:r>
          </w:p>
          <w:p w:rsidR="00AC1042" w:rsidRPr="00D40FDA" w:rsidRDefault="00AC1042" w:rsidP="003161CB">
            <w:pPr>
              <w:spacing w:after="0" w:line="240" w:lineRule="auto"/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специальных </w:t>
            </w:r>
          </w:p>
          <w:p w:rsidR="00AC1042" w:rsidRPr="00D40FDA" w:rsidRDefault="00AC1042" w:rsidP="003161CB">
            <w:pPr>
              <w:spacing w:after="0" w:line="240" w:lineRule="auto"/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процедур 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Введение </w:t>
            </w: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положений 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должностные инструкции работников.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процедуры информирования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эаботниками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работодателя о случаях склонения их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совершению коррупционных нарушений 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порядка рассмотрения таких сообщений, включая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доступных каналов передачи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обозначенной информации (механизмов "обратной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связи", телефона доверия и т. п.)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процедуры информирования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работодателя о ставшей известной работнику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информации о случаях совершения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коррупционных правонарушений другими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эаботниками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контрагентами организации или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иными лицами и порядка рассмотрения таких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сообщений, включая создание доступных каналов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передачи обозначенной информации (механизмов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'обратной связи", телефона доверия и т. п.)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процедуры информирования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работниками работодателя о возникновении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конфликта интересов и порядка урегулирования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выявленного конфликта интересов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Обучение и информирование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работников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Ежегодное ознакомление работников под роспись с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нормативными документами, регламентирующими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вопросы предупреждения и противодействия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коррупции в организации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Проведение обучающих мероприятий по вопросам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профилактики и противодействия коррупции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индивидуального консультирования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работников по вопросам применения (соблюдения)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стандартов и процедур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Обеспечение соответствия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внутреннего контроля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аудита организации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требованиям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политики 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регулярного контроля соблюдения 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внутренних процедур организации.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Осуществление регулярного контроля данных</w:t>
            </w:r>
          </w:p>
          <w:p w:rsidR="00AC1042" w:rsidRPr="00D40FDA" w:rsidRDefault="00677564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бухгалтерского</w:t>
            </w:r>
            <w:r w:rsidR="00AC1042"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учета, наличия и достоверности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первичных документов бухгалтерского учета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C1042" w:rsidRPr="00D40FDA" w:rsidTr="003161CB">
        <w:tc>
          <w:tcPr>
            <w:tcW w:w="3227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результатов проводимой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работы 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распространение отчетных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материалов</w:t>
            </w:r>
          </w:p>
        </w:tc>
        <w:tc>
          <w:tcPr>
            <w:tcW w:w="6678" w:type="dxa"/>
          </w:tcPr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регулярной оценки результатов работы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противодействию коррупции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и распространение отчетных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материалов о проводимой работе и достигнутых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0F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результатах в сфере противодействия коррупции</w:t>
            </w:r>
          </w:p>
          <w:p w:rsidR="00AC1042" w:rsidRPr="00D40FDA" w:rsidRDefault="00AC1042" w:rsidP="003161C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В качестве приложения к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политике утверждается план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реализации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с указанием сроки его проведения и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ответственного исполнителя для каждого мероприятия.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8. Ответственность сотрудников за несоблюдение требований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политики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8.1. Ответственность юридических лиц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Общие нормы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Общие нормы, устанавливающие ответственность юридических лиц за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коррупционные правонарушения, закреплены в статье 14 Федерального закона №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273-ФЗ. В соответствии с данной статьей, если от имени или в интересах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юридического лица осуществляются организация, подготовка и совершение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коррупционных правонарушений или правонарушений, создающие условия для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совершения коррупционных правонарушений, к юридическому лицу могут быть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применены меры ответственности в соответствии с законодательством Российской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Федерации.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 этом применение мер ответственности за коррупционное правонарушение 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юридическому лицу не освобождает от ответственности за данное коррупционное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правонарушение виновное физическое лицо. Привлечение к уголовной или иной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ответственности за коррупционное правонарушение физического лица 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освобождает от ответственности за данное коррупционное правонарушение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юридическое лицо. В случаях, предусмотренных законодательством Российской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Федерации, данные нормы распространяются на иностранные юридические лица.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Незаконное вознаграждение от имени юридического лица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Статья 19.28 Кодекса Российской Федерации об административных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правонарушениях (далее -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КоАП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РФ) устанавливает меры ответственности за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незаконное вознаграждение от имени юридического лица (незаконные передача,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предложение или обещание от имени или в интересах юридического лица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должностному лицу, лицу, выполняющему управленческие функции, иного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имущества, оказание ему услуг имущественного характера, предоставление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имущественных прав за совершение в интересах данного юридического лица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должностным лицом, лицом, действия (бездействие), связанного с занимаемым 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служебным положением, влечет наложение на юридическое лицо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административного штрафа.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Незаконное привлечение к трудовой деятельности бывшего государственного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(муниципального) служащего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Организации должны учитывать положения статьи 12 Федерального закона № 273-ФЗ, устанавливающие ограничения для гражданина, замещавшего должность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государственной или муниципальной службы, при заключении им трудового или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гражданско-правового договора.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 частности, работодатель при заключении трудового или гражданско-правового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договора на выполнение работ (оказание услуг) с гражданином, замещавшим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должности государственной или муниципальной службы, перечень которых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нормативными правовыми актами Российской Федерации,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течение двух 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 после его увольнения с государственной или муниципальной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службы обязан в десятидневный срок сообщать о заключении такого договора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представителю нанимателя (работодателю) государственного или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служащего по последнему месту его службы.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Порядок представления работодателями указанной информации закреплен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постановлении Правительства Российской Федерации от 8 сентября 2010 г. № 700.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Лицо, ответственное за предоставление указанной информации назначается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приказом директора.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Неисполнение работодателем обязанности, предусмотренной частью 4 статьи 12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Федерального закона № 273-ФЗ, является правонарушением и влечет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соответствии со статьей 19.29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КоАП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РФ ответственность в виде административного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штрафа.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8.2. Ответственность физических лиц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Ответственность физических лиц за коррупционные правонарушения установлена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статьей 13 Федерального закона № 273-ФЗ. Граждане Российской Федерации,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иностранные граждане и лица без гражданства за совершение коррупционных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правонарушений несут уголовную, административную, гражданско-правовую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дисциплинарную ответственность в соответствии с законодательством Российской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Федерации.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Трудовое законодательство не предусматривает специальных оснований для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привлечения работника организации к дисциплинарной ответственности в связи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совершением им коррупционного правонарушения в интересах или от имени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Тем не менее, в Трудовом кодексе Российской Федерации (далее - ТК РФ)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существует возможность привлечения работника организации к дисциплинарной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ответственно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сти.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Так, согласно статье 192 ТК РФ к дисциплинарным взысканиям, в частности,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относится увольнение работника по основаниям, предусмотренным пунктами 5, 6,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9 или 10 части первой статьи 81, пунктом 1 статьи 336, а также пунктами 7 или 7.1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части первой статьи 81 ТК РФ в случаях, когда виновные действия, дающие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основания для утраты доверия, совершены работником по месту работы и в связи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исполнением им трудовых обязанностей. Трудовой договор может быть расторгнут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работодателем, в том числе в следующих случаях: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однократного грубого нарушения работником трудовых обязанностей,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выразившегося в разглашении охраняемой законом тайны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(государственной, коммерческой и иной), ставшей известной работнику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связи с исполнением им трудовых обязанностей, в том числе разглашении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персональных данных другого работника (подпункт "в" пункта 6 части 1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статьи 81 ТК РФ);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совершения виновных действий работником, непосредственно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обслуживающим денежные или товарные ценности, если эти действия дают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основание для утраты доверия к нему со стороны работодателя (пункт 7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части первой статьи 81 ТК РФ);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принятия необоснованного решения руководителем Учреждения, его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заместителями и главным бухгалтером, повлекшего за собой нарушение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сохранности имущества, неправомерное его использование или иной ущерб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имуществу организации (пункт 9 части первой статьи 81 ТК РФ);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• однократного грубого нарушения руководителем организации (филиала,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представительства), его заместителями своих трудовых обязанностей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(пункт 10 части первой статьи 81 ТК РФ).</w:t>
      </w:r>
    </w:p>
    <w:p w:rsidR="00AC1042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1042" w:rsidRPr="009537E6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9. Порядок пересмотра и внесения изменений в </w:t>
      </w:r>
      <w:proofErr w:type="spellStart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антикоррупционную</w:t>
      </w:r>
      <w:proofErr w:type="spellEnd"/>
      <w:r w:rsidRPr="00D40F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политику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организации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В процессе работы должен осуществляться регулярный мониторинг хода и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эффективности реализации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политики. Должностное лицо, 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которое возложены функции по профилактике и противодействию коррупции,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ежегодно представлять руководству Учреждения соответствующий отчет. Если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результатам мониторинга возникают сомнения в эффективности реализуемых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мероприятий, в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антикоррупционную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политику вносятся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изменения и дополнения.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9.2.Пересмотр принятой </w:t>
      </w:r>
      <w:proofErr w:type="spellStart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D40FDA">
        <w:rPr>
          <w:rFonts w:ascii="Times New Roman" w:eastAsia="Times New Roman" w:hAnsi="Times New Roman"/>
          <w:color w:val="000000"/>
          <w:sz w:val="28"/>
          <w:szCs w:val="28"/>
        </w:rPr>
        <w:t xml:space="preserve"> политики может проводиться и в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иных случаях, таких как внесение изменений в ТК РФ и законодательство о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противодействии коррупции, изменение организационно-правовой формы</w:t>
      </w:r>
    </w:p>
    <w:p w:rsidR="00AC1042" w:rsidRPr="00D40FDA" w:rsidRDefault="00AC1042" w:rsidP="00AC104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40FDA">
        <w:rPr>
          <w:rFonts w:ascii="Times New Roman" w:eastAsia="Times New Roman" w:hAnsi="Times New Roman"/>
          <w:color w:val="000000"/>
          <w:sz w:val="28"/>
          <w:szCs w:val="28"/>
        </w:rPr>
        <w:t>организации и так далее.</w:t>
      </w:r>
    </w:p>
    <w:p w:rsidR="000A1A12" w:rsidRDefault="000A1A12"/>
    <w:sectPr w:rsidR="000A1A12" w:rsidSect="000A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042"/>
    <w:rsid w:val="000A0725"/>
    <w:rsid w:val="000A1A12"/>
    <w:rsid w:val="001327E2"/>
    <w:rsid w:val="004A11F4"/>
    <w:rsid w:val="004C6D72"/>
    <w:rsid w:val="00605DA5"/>
    <w:rsid w:val="00677564"/>
    <w:rsid w:val="008556DA"/>
    <w:rsid w:val="0087329F"/>
    <w:rsid w:val="008C4F14"/>
    <w:rsid w:val="00AC1042"/>
    <w:rsid w:val="00B754FF"/>
    <w:rsid w:val="00C67750"/>
    <w:rsid w:val="00D3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5</cp:revision>
  <cp:lastPrinted>2017-01-27T03:34:00Z</cp:lastPrinted>
  <dcterms:created xsi:type="dcterms:W3CDTF">2017-08-02T09:14:00Z</dcterms:created>
  <dcterms:modified xsi:type="dcterms:W3CDTF">2017-08-02T10:00:00Z</dcterms:modified>
</cp:coreProperties>
</file>